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"/>
        <w:pBdr/>
        <w:spacing w:before="104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ANEXO</w:t>
      </w:r>
      <w:r>
        <w:rPr>
          <w:rFonts w:ascii="Arial" w:hAnsi="Arial" w:eastAsia="Arial" w:cs="Arial"/>
          <w:spacing w:val="-1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</w:t>
      </w:r>
      <w:r>
        <w:rPr>
          <w:rFonts w:ascii="Arial" w:hAnsi="Arial" w:eastAsia="Arial" w:cs="Arial"/>
          <w:sz w:val="24"/>
          <w:szCs w:val="24"/>
          <w:lang w:val="pt-BR"/>
        </w:rPr>
        <w:t xml:space="preserve">II</w:t>
      </w:r>
      <w:r>
        <w:rPr>
          <w:rFonts w:ascii="Arial" w:hAnsi="Arial" w:eastAsia="Arial" w:cs="Arial"/>
          <w:spacing w:val="-1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pacing w:val="-1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TERMO</w:t>
      </w:r>
      <w:r>
        <w:rPr>
          <w:rFonts w:ascii="Arial" w:hAnsi="Arial" w:eastAsia="Arial" w:cs="Arial"/>
          <w:spacing w:val="-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ADESÃO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_635"/>
        <w:pBdr/>
        <w:spacing w:before="3"/>
        <w:ind w:right="0" w:firstLine="0" w:left="0"/>
        <w:rPr>
          <w:rFonts w:ascii="Arial" w:hAnsi="Arial" w:cs="Arial"/>
          <w:b/>
          <w:sz w:val="19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Style w:val="1_635"/>
        <w:pBdr/>
        <w:spacing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Eu,....................................,</w:t>
      </w:r>
      <w:r>
        <w:rPr>
          <w:rFonts w:ascii="Arial" w:hAnsi="Arial" w:eastAsia="Arial" w:cs="Arial"/>
          <w:spacing w:val="3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Prefeito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(a)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de.............................................,</w:t>
      </w:r>
      <w:r>
        <w:rPr>
          <w:rFonts w:ascii="Arial" w:hAnsi="Arial" w:eastAsia="Arial" w:cs="Arial"/>
          <w:spacing w:val="9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portador(a)</w:t>
      </w:r>
      <w:r>
        <w:rPr>
          <w:rFonts w:ascii="Arial" w:hAnsi="Arial" w:eastAsia="Arial" w:cs="Arial"/>
          <w:spacing w:val="9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pacing w:val="8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Carteira</w:t>
      </w:r>
      <w:r>
        <w:rPr>
          <w:rFonts w:ascii="Arial" w:hAnsi="Arial" w:eastAsia="Arial" w:cs="Arial"/>
          <w:spacing w:val="8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pacing w:val="-1"/>
          <w:sz w:val="24"/>
          <w:szCs w:val="24"/>
        </w:rPr>
        <w:t xml:space="preserve">Identidade/RG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nº..........................Cadastro de Pessoa Física (CPF) nº .........................,residente e domiciliado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(a)</w:t>
      </w:r>
      <w:r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à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_635"/>
        <w:pBdr/>
        <w:spacing w:line="249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Declaro estar</w:t>
      </w:r>
      <w:r>
        <w:rPr>
          <w:rFonts w:ascii="Arial" w:hAnsi="Arial" w:eastAsia="Arial" w:cs="Arial"/>
          <w:sz w:val="24"/>
          <w:szCs w:val="24"/>
        </w:rPr>
        <w:t xml:space="preserve"> ciente das condições e responsabilidades estabelecidas na  Lei Estadual nº 615/2011 e da Portaria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nº </w:t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  <w:t xml:space="preserve">055-S, de 4 de junho de 2024 </w:t>
      </w:r>
      <w:r>
        <w:rPr>
          <w:rFonts w:ascii="Arial" w:hAnsi="Arial" w:eastAsia="Arial" w:cs="Arial"/>
          <w:sz w:val="24"/>
          <w:szCs w:val="24"/>
        </w:rPr>
        <w:t xml:space="preserve">e nas demais normas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legais pertinente ao Fundo Estadual de Combate e Erradicação da Pobreza -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FUNCOP,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necessário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cumprimento</w:t>
      </w:r>
      <w:r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das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exigências</w:t>
      </w:r>
      <w:r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condições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abaixo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relacionadas: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604"/>
        </w:tabs>
        <w:spacing w:after="0" w:before="0" w:line="249" w:lineRule="auto"/>
        <w:ind w:right="0" w:firstLine="0" w:lef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Indicação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conta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bancária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específica para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Fundo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Estadual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Combate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Erradicação  da  Pobreza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(Funcop),</w:t>
      </w:r>
      <w:r>
        <w:rPr>
          <w:rFonts w:ascii="Arial" w:hAnsi="Arial" w:eastAsia="Arial" w:cs="Arial"/>
          <w:spacing w:val="3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</w:t>
      </w:r>
      <w:r>
        <w:rPr>
          <w:rFonts w:ascii="Arial" w:hAnsi="Arial" w:eastAsia="Arial" w:cs="Arial"/>
          <w:spacing w:val="3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movimentação</w:t>
      </w:r>
      <w:r>
        <w:rPr>
          <w:rFonts w:ascii="Arial" w:hAnsi="Arial" w:eastAsia="Arial" w:cs="Arial"/>
          <w:spacing w:val="3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recursos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repassados,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conforme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item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4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plano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aplicação.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602"/>
        </w:tabs>
        <w:spacing w:after="0" w:before="0" w:line="249" w:lineRule="auto"/>
        <w:ind w:right="0" w:firstLine="0" w:lef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Apresentação no prazo estipulado pela Portaria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nº </w:t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  <w:t xml:space="preserve">055-S, de 4 de junho de 2024</w:t>
      </w:r>
      <w:r>
        <w:rPr>
          <w:rFonts w:ascii="Arial" w:hAnsi="Arial" w:eastAsia="Arial" w:cs="Arial"/>
          <w:sz w:val="24"/>
          <w:szCs w:val="24"/>
        </w:rPr>
        <w:t xml:space="preserve">, do plano 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aplicação, relativo exclusivamente aos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recursos previstos conforme Anexo I e Anexo II devidamente aprovado no Conselho Municipal de Assistência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Social.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580"/>
        </w:tabs>
        <w:spacing w:after="0" w:before="0" w:line="207" w:lineRule="exact"/>
        <w:ind w:right="0" w:firstLine="0" w:lef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Utilização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recurso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transferido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em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conformidade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com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plano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aplicação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aprovado.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611"/>
        </w:tabs>
        <w:spacing w:after="0" w:before="3" w:line="249" w:lineRule="auto"/>
        <w:ind w:right="0" w:firstLine="0" w:lef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Apresentação junto à SETADES, de prestação de contas, avaliada e aprovada pelo Conselho Municipal 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Assistência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Social.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line="208" w:lineRule="exact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.....................................................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7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(Local/data)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8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.....................................................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7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Assinatura</w:t>
      </w:r>
      <w:r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do(a)</w:t>
      </w:r>
      <w:r>
        <w:rPr>
          <w:rFonts w:ascii="Arial" w:hAnsi="Arial" w:eastAsia="Arial" w:cs="Arial"/>
          <w:spacing w:val="-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Prefeito(a)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4"/>
        <w:ind w:right="0" w:firstLine="0" w:left="0"/>
        <w:rPr>
          <w:rFonts w:ascii="Arial" w:hAnsi="Arial" w:cs="Arial"/>
          <w:sz w:val="19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Testemunnhas: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8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</w:t>
      </w:r>
      <w:r>
        <w:rPr>
          <w:rFonts w:ascii="Arial" w:hAnsi="Arial" w:eastAsia="Arial" w:cs="Arial"/>
          <w:spacing w:val="6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..............................................................................CPF:..............................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7"/>
        <w:ind w:right="0" w:firstLine="0" w:left="0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2)</w:t>
      </w:r>
      <w:r>
        <w:rPr>
          <w:rFonts w:ascii="Arial" w:hAnsi="Arial" w:eastAsia="Arial" w:cs="Arial"/>
          <w:spacing w:val="7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..............................................................................CPF: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.............................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r/>
      <w:bookmarkEnd w:id="0"/>
      <w:r/>
      <w:r>
        <w:rPr>
          <w:sz w:val="24"/>
          <w:szCs w:val="24"/>
        </w:rPr>
      </w:r>
    </w:p>
    <w:sectPr>
      <w:footnotePr/>
      <w:endnotePr/>
      <w:type w:val="nextPage"/>
      <w:pgSz w:h="16838" w:orient="landscape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61" w:left="343"/>
        <w:jc w:val="left"/>
      </w:pPr>
      <w:rPr>
        <w:rFonts w:hint="default" w:ascii="Trebuchet MS" w:hAnsi="Trebuchet MS" w:eastAsia="Trebuchet MS" w:cs="Trebuchet MS"/>
        <w:spacing w:val="-1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32" w:left="1053"/>
        <w:jc w:val="left"/>
      </w:pPr>
      <w:rPr>
        <w:rFonts w:hint="default" w:ascii="Trebuchet MS" w:hAnsi="Trebuchet MS" w:eastAsia="Trebuchet MS" w:cs="Trebuchet MS"/>
        <w:spacing w:val="-1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2" w:left="862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2" w:left="8945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2" w:left="92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2" w:left="959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2" w:left="9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1024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10574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Body Text"/>
    <w:basedOn w:val="90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2024-06-04T14:58:40Z</dcterms:modified>
</cp:coreProperties>
</file>